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91290-6k_hotel101.htm"/>
      <w:bookmarkStart w:id="1" w:name="ksea02912906k_hotel101"/>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UNDER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001-42727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HOTEL101 GLOBAL HOLDINGS CORP.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 Cecil Street #04-03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Plus Building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049705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625" w:type="dxa"/>
        <w:jc w:val="left"/>
        <w:tblInd w:w="0" w:type="dxa"/>
        <w:tblLayout w:type="fixed"/>
        <w:tblCellMar>
          <w:top w:w="0" w:type="dxa"/>
          <w:left w:w="0" w:type="dxa"/>
          <w:bottom w:w="28" w:type="dxa"/>
          <w:right w:w="0" w:type="dxa"/>
        </w:tblCellMar>
      </w:tblPr>
      <w:tblGrid>
        <w:gridCol w:w="725"/>
        <w:gridCol w:w="60"/>
        <w:gridCol w:w="2840"/>
      </w:tblGrid>
      <w:tr>
        <w:trPr/>
        <w:tc>
          <w:tcPr>
            <w:tcW w:w="72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0" w:type="dxa"/>
            <w:tcBorders/>
            <w:shd w:fill="CCEEFF" w:val="clear"/>
            <w:tcMar>
              <w:bottom w:w="0" w:type="dxa"/>
            </w:tcMar>
            <w:vAlign w:val="center"/>
          </w:tcPr>
          <w:p>
            <w:pPr>
              <w:pStyle w:val="TableContents"/>
              <w:bidi w:val="0"/>
              <w:spacing w:before="0" w:after="283"/>
              <w:jc w:val="both"/>
              <w:rPr/>
            </w:pPr>
            <w:hyperlink w:anchor="ea029129001ex99-1.htm">
              <w:r>
                <w:rPr>
                  <w:rStyle w:val="InternetLink"/>
                  <w:rFonts w:ascii="Times New Roman;Times;Serif" w:hAnsi="Times New Roman;Times;Serif"/>
                  <w:b w:val="false"/>
                  <w:i w:val="false"/>
                  <w:caps w:val="false"/>
                  <w:smallCaps w:val="false"/>
                  <w:sz w:val="20"/>
                </w:rPr>
                <w:t>Press Release, dated May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708"/>
        <w:gridCol w:w="2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19,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GLOBAL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Marriana H. Yulo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caps w:val="false"/>
                <w:smallCaps w:val="false"/>
              </w:rPr>
            </w:pPr>
            <w:r>
              <w:rPr>
                <w:caps w:val="false"/>
                <w:smallCaps w:val="false"/>
              </w:rPr>
              <w:t> </w:t>
            </w:r>
          </w:p>
        </w:tc>
        <w:tc>
          <w:tcPr>
            <w:tcW w:w="29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Rodolfo Ma. A. Ponferrada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Rodolfo Ma. A. Ponferrada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Form 6-K</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9129001ex99-1.htm"/>
      <w:bookmarkStart w:id="3" w:name="ksea029129001ex991"/>
      <w:bookmarkEnd w:id="2"/>
      <w:bookmarkEnd w:id="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Today: Hotel101 Global Reaches Record Single-Day Revenue Generation at 100% Occupancy in Hotel101 Madrid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Hotel101-Madrid generates over €100,000 in single day recurring room revenues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 80% of hotel guests in the 680-room Hotel101-Madrid are from Europe, North America and Latin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Madrid serves as the global prototype for Hotel101 Global and functions as the primary operating springboard for the company’s international expansion, which management expects to enable the successful replication of its innovative business model. This prototype supports Hotel101 Global’s vision of developing one million standardized rooms across 100 countries, with the ultimate goal of becoming the world’s largest single-brand hotel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48325" cy="3400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48325" cy="3400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May 19, 2026</w:t>
      </w:r>
      <w:r>
        <w:rPr>
          <w:rFonts w:ascii="Times New Roman;Times;Serif" w:hAnsi="Times New Roman;Times;Serif"/>
          <w:b w:val="false"/>
          <w:i w:val="false"/>
          <w:caps w:val="false"/>
          <w:smallCaps w:val="false"/>
          <w:sz w:val="20"/>
        </w:rPr>
        <w:t xml:space="preserve"> – Hotel101 Global Holdings Corp. (NASDAQ Ticker: HBNB) (“Hotel101 Global,” “Hotel101,” “HBNB” or the “Company”) today announced that its 680-room Hotel101-Madrid has significantly outperformed management’s original estimates, achieving a company record of more than €100,000 in room revenues in a single day on May 19, 2026, at 100% occupancy.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record performance underscores the accelerating momentum and exceptionally strong demand for the 680-room Hotel101-Madrid, the first Hotel101-branded property to operate outside the Philippines, which officially opened in March 2026. This record single-day performance at 100% occupancy provides support for demonstrable, strong demand for the property and illustrates the property’s potential to generate substantial recurring revenues This milestone revenue achieved today of more than €100,000 Euros for a single day is expected to translate to a highly sizable recurring hotel revenues annually, further validating the success of the Company’s asset-light, prop-tech hospitality model and its focus on long-term recurring revenue generation from the Hotel101 global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Hotel101-Madrid has been designated as an “Official Hotel” partner for the Formula 1 Spanish Grand Prix from 2026 to 2035 through an exclusive agreement with MATCH Hospitality AG. Hotel101-Madrid is one of the top five largest hotels in Madrid by room count. Located on a 6,593-square-meter site in Valdebebas, Madrid, it is strategically positioned, adjacent to the new Formula 1 Spanish Grand Prix circuit, overlooking the iconic semicircular Turn 12 titled “La Monumental”. The property offers convenient accessibility, located approximately a three-minute walk to Valdebebas Train Station, four minutes to the IFEMA convention complex, five minutes to the Real Madrid Sports Complex and seven minutes to the Adolfo Suárez Madrid-Barajas International Airport.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features modern amenities, including an all-day dining restaurant, HBNB Kitchen by award-winning La Sucursal, two swimming pools, a fitness center, a children’s playground, 24/7 reception, a business center, function rooms and a proprietary Hotel101 app that supports seamless guest services, including digital check-in and digital key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Madrid serves as the global prototype for Hotel101 Global and functions as the primary operating springboard for the company’s international expansion, which management expects to enable the successful replication of its innovative business model. This prototype supports Hotel101 Global’s vision of developing one million standardized rooms across 100 countries, with the ultimate goal of becoming the world’s largest single-brand hotel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Hotel101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on Nasdaq (Ticker: HBNB) with a market capitalization of approx. US$1.5 billion as of May 19, 2026. Hotel101 is an asset-light, prop-tech hospitality platform pioneering a global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towards its long-term goal and vision to operate 1 million rooms in 100 countries globally is expected to be driven mainly by joint ventures and license agreements with local developers in various countries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657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6576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Hotel101’s signature 21 sqm HappyRoom equipped with a practical kitchenette featuring microwave, refrigerator and kettle, luggage rack, 55” TV, free high-speed internet, work desk, modern bidet toilet, strong water pressure, and premium Emma Sleep mattresses.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638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638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Latest Photo of 680-room Hotel101-Madrid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w:t>
      </w:r>
      <w:r>
        <w:rPr>
          <w:rFonts w:ascii="Times New Roman;Times;Serif" w:hAnsi="Times New Roman;Times;Serif"/>
          <w:b/>
          <w:i w:val="false"/>
          <w:caps w:val="false"/>
          <w:smallCaps w:val="false"/>
          <w:sz w:val="20"/>
        </w:rPr>
        <w:t>HBNB</w:t>
      </w:r>
      <w:r>
        <w:rPr>
          <w:rFonts w:ascii="Times New Roman;Times;Serif" w:hAnsi="Times New Roman;Times;Serif"/>
          <w:b w:val="false"/>
          <w:i w:val="false"/>
          <w:caps w:val="false"/>
          <w:smallCaps w:val="false"/>
          <w:sz w:val="20"/>
        </w:rPr>
        <w:t>”) and its subsidiaries (the “HBNB Group”), are forward-looking statements. In some cases, you can identify forward-looking statements by terminology such as “believe,” “may,” “estimate,” “continue,” “anticipate,” “intend,” “should,” “plan,” “set,” “expect,” “slated,” “scheduled,” “predict,” “potential” or the negative of these terms or other similar expressions. Forward-looking statements include, without limitation, HBNB’s expectations concerning anticipated revenues, the location, expected number of rooms and expected project completion dates of projects of HBNB and projects of its associate, Hotel of Asia, Inc., HBNB’s goals and vision,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manage, execute and implement its growth or expansion strategies; disagreements or disputes with the HBNB Group’s joint venture partners, including owners of pre-sold condotel units in Hotel101 hospitality projects, or the failure of such joint venture partners to perform their obligations; the HBNB Group’s exposure to risks associated with offering deferred payment schemes, including the risk of customer default; competition for the acquisition of land for new projects and risks relating to the management of its land bank; the HBNB Group’s ability to effectively compete in the highly competitive hospitality industry; decline or disruption in the travel and hospitality industries or economic downturn; liquidity risk; project cost and completion risks, and reputational risk and damage to the Hotel101 brand if projects or hotels do not meet customers’ requirements; risk relating to rights and titles over land; insurance; laws and regulations relating to real estate development and marketing activities and hotel operation and management activities; regulatory inquiries, investigations, litigation, and other disputes, including potential construction defects and other building-related claims; and other risks and uncertainties discussed in HBNB’s annual report for the year ended December 31, 2025 on Form 20-F (File No.: 001-42727) and under the heading “Risk Factors” in HBNB’s registration statement on Form F-4 (File No.: 333-287130) and other documents to be filed by HBNB from time to time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1527</Words>
  <Characters>9135</Characters>
  <CharactersWithSpaces>10692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